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37" w:rsidRPr="003F67A2" w:rsidRDefault="00CC1B37" w:rsidP="00CC1B37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02031BE" wp14:editId="3E20F10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C1B37" w:rsidRPr="003F67A2" w:rsidRDefault="00CC1B37" w:rsidP="00CC1B37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C1B37" w:rsidRPr="003F67A2" w:rsidRDefault="00CC1B37" w:rsidP="00CC1B37">
      <w:pPr>
        <w:jc w:val="center"/>
        <w:rPr>
          <w:sz w:val="28"/>
          <w:szCs w:val="28"/>
        </w:rPr>
      </w:pPr>
    </w:p>
    <w:p w:rsidR="00CC1B37" w:rsidRPr="003F67A2" w:rsidRDefault="00CC1B37" w:rsidP="00CC1B3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C1B37" w:rsidRPr="003F67A2" w:rsidRDefault="00CC1B37" w:rsidP="00CC1B37">
      <w:pPr>
        <w:jc w:val="center"/>
        <w:rPr>
          <w:sz w:val="28"/>
          <w:szCs w:val="28"/>
        </w:rPr>
      </w:pPr>
    </w:p>
    <w:p w:rsidR="00CC1B37" w:rsidRPr="003F67A2" w:rsidRDefault="00CC1B37" w:rsidP="00CC1B37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CC1B37" w:rsidRPr="003F67A2" w:rsidRDefault="00CC1B37" w:rsidP="00CC1B37">
      <w:pPr>
        <w:jc w:val="center"/>
        <w:rPr>
          <w:b/>
          <w:sz w:val="28"/>
          <w:szCs w:val="28"/>
        </w:rPr>
      </w:pPr>
    </w:p>
    <w:p w:rsidR="00931E8E" w:rsidRPr="00CC1B37" w:rsidRDefault="00CC1B37" w:rsidP="00CC1B37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16.</w:t>
      </w:r>
      <w:r w:rsidRPr="001962E1">
        <w:rPr>
          <w:sz w:val="28"/>
          <w:szCs w:val="28"/>
          <w:u w:val="single"/>
          <w:lang w:val="uk-UA"/>
        </w:rPr>
        <w:t>01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14</w:t>
      </w:r>
      <w:bookmarkStart w:id="0" w:name="_GoBack"/>
      <w:bookmarkEnd w:id="0"/>
    </w:p>
    <w:p w:rsidR="00931E8E" w:rsidRDefault="00931E8E" w:rsidP="00931E8E">
      <w:pPr>
        <w:rPr>
          <w:sz w:val="28"/>
          <w:szCs w:val="28"/>
          <w:lang w:val="uk-UA"/>
        </w:rPr>
      </w:pPr>
    </w:p>
    <w:p w:rsidR="00EA19D3" w:rsidRPr="00EA19D3" w:rsidRDefault="00EA19D3" w:rsidP="00931E8E">
      <w:pPr>
        <w:rPr>
          <w:sz w:val="10"/>
          <w:szCs w:val="10"/>
          <w:lang w:val="uk-UA"/>
        </w:rPr>
      </w:pPr>
    </w:p>
    <w:p w:rsidR="00EA13CA" w:rsidRDefault="00EA13CA" w:rsidP="00931E8E">
      <w:pPr>
        <w:jc w:val="both"/>
        <w:rPr>
          <w:sz w:val="28"/>
          <w:szCs w:val="28"/>
          <w:lang w:val="uk-UA"/>
        </w:rPr>
      </w:pPr>
      <w:r w:rsidRPr="00DD5BFB">
        <w:rPr>
          <w:sz w:val="28"/>
          <w:szCs w:val="28"/>
        </w:rPr>
        <w:t xml:space="preserve">Про передачу майна з балансу </w:t>
      </w:r>
    </w:p>
    <w:p w:rsidR="00931E8E" w:rsidRDefault="00EA13CA" w:rsidP="00931E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комплексної дитячо-юнацької </w:t>
      </w:r>
    </w:p>
    <w:p w:rsidR="00931E8E" w:rsidRDefault="00EA13CA" w:rsidP="00931E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спортивної школи </w:t>
      </w:r>
      <w:r w:rsidR="00931E8E">
        <w:rPr>
          <w:sz w:val="28"/>
          <w:szCs w:val="28"/>
          <w:lang w:val="uk-UA"/>
        </w:rPr>
        <w:t xml:space="preserve">Черкаської </w:t>
      </w:r>
    </w:p>
    <w:p w:rsidR="00791507" w:rsidRDefault="00791507" w:rsidP="00EA13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  <w:r w:rsidR="00931E8E">
        <w:rPr>
          <w:sz w:val="28"/>
          <w:szCs w:val="28"/>
          <w:lang w:val="uk-UA"/>
        </w:rPr>
        <w:t xml:space="preserve">на баланс </w:t>
      </w:r>
      <w:r w:rsidR="00EA13CA">
        <w:rPr>
          <w:sz w:val="28"/>
          <w:szCs w:val="28"/>
          <w:lang w:val="uk-UA"/>
        </w:rPr>
        <w:t xml:space="preserve">комплексної </w:t>
      </w:r>
    </w:p>
    <w:p w:rsidR="00EA13CA" w:rsidRDefault="00EA13CA" w:rsidP="00EA13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дитячо-юнацької </w:t>
      </w:r>
      <w:r w:rsidR="00791507">
        <w:rPr>
          <w:sz w:val="28"/>
          <w:szCs w:val="28"/>
          <w:lang w:val="uk-UA"/>
        </w:rPr>
        <w:t>спортивної школи</w:t>
      </w:r>
    </w:p>
    <w:p w:rsidR="00931E8E" w:rsidRDefault="00EA13CA" w:rsidP="00EA13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«Спартак» Черкаської міської ради</w:t>
      </w:r>
    </w:p>
    <w:p w:rsidR="00931E8E" w:rsidRDefault="00931E8E" w:rsidP="00931E8E">
      <w:pPr>
        <w:jc w:val="both"/>
        <w:rPr>
          <w:sz w:val="28"/>
          <w:szCs w:val="28"/>
          <w:lang w:val="uk-UA"/>
        </w:rPr>
      </w:pPr>
    </w:p>
    <w:p w:rsidR="00931E8E" w:rsidRDefault="00931E8E" w:rsidP="00931E8E">
      <w:pPr>
        <w:jc w:val="both"/>
        <w:rPr>
          <w:lang w:val="uk-UA"/>
        </w:rPr>
      </w:pPr>
    </w:p>
    <w:p w:rsidR="00931E8E" w:rsidRDefault="00931E8E" w:rsidP="003A65D8">
      <w:pPr>
        <w:ind w:firstLine="708"/>
        <w:jc w:val="both"/>
        <w:rPr>
          <w:sz w:val="28"/>
          <w:szCs w:val="28"/>
          <w:lang w:val="uk-UA"/>
        </w:rPr>
      </w:pPr>
      <w:r w:rsidRPr="00CC1088">
        <w:rPr>
          <w:sz w:val="28"/>
          <w:szCs w:val="28"/>
          <w:lang w:val="uk-UA"/>
        </w:rPr>
        <w:t xml:space="preserve">З метою належного утримання та </w:t>
      </w:r>
      <w:r>
        <w:rPr>
          <w:sz w:val="28"/>
          <w:szCs w:val="28"/>
          <w:lang w:val="uk-UA"/>
        </w:rPr>
        <w:t>ефективного використання</w:t>
      </w:r>
      <w:r w:rsidRPr="00CC10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матеріальних цінностей, </w:t>
      </w:r>
      <w:r w:rsidRPr="00CC1088">
        <w:rPr>
          <w:sz w:val="28"/>
          <w:szCs w:val="28"/>
          <w:lang w:val="uk-UA"/>
        </w:rPr>
        <w:t>відповідно до Положення про порядок списання та передачі майна, що належить до комунальної власності т</w:t>
      </w:r>
      <w:r>
        <w:rPr>
          <w:sz w:val="28"/>
          <w:szCs w:val="28"/>
          <w:lang w:val="uk-UA"/>
        </w:rPr>
        <w:t>ериторіальної громади м. Черкаси</w:t>
      </w:r>
      <w:r w:rsidRPr="00CC1088">
        <w:rPr>
          <w:sz w:val="28"/>
          <w:szCs w:val="28"/>
          <w:lang w:val="uk-UA"/>
        </w:rPr>
        <w:t>, затвердженого рішенням Черкаської міської ради від 20.06.2013 №3-1712</w:t>
      </w:r>
      <w:r>
        <w:rPr>
          <w:sz w:val="28"/>
          <w:szCs w:val="28"/>
          <w:lang w:val="uk-UA"/>
        </w:rPr>
        <w:t>,</w:t>
      </w:r>
      <w:r w:rsidR="00EA13CA">
        <w:rPr>
          <w:sz w:val="28"/>
          <w:szCs w:val="28"/>
          <w:lang w:val="uk-UA"/>
        </w:rPr>
        <w:t xml:space="preserve"> </w:t>
      </w:r>
      <w:r w:rsidRPr="00CC1088">
        <w:rPr>
          <w:sz w:val="28"/>
          <w:szCs w:val="28"/>
          <w:lang w:val="uk-UA"/>
        </w:rPr>
        <w:t>ст. 29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="00EA13CA" w:rsidRPr="00EA13CA">
        <w:rPr>
          <w:sz w:val="28"/>
          <w:szCs w:val="28"/>
          <w:lang w:val="uk-UA"/>
        </w:rPr>
        <w:t xml:space="preserve">враховуючи лист-прохання </w:t>
      </w:r>
      <w:r w:rsidR="00EA13CA">
        <w:rPr>
          <w:sz w:val="28"/>
          <w:szCs w:val="28"/>
          <w:lang w:val="uk-UA"/>
        </w:rPr>
        <w:t>комплексної дитячо-юнацької спортивної школи Черкаської міської ради</w:t>
      </w:r>
      <w:r w:rsidR="00EA13CA" w:rsidRPr="00EA13CA">
        <w:rPr>
          <w:sz w:val="28"/>
          <w:szCs w:val="28"/>
          <w:lang w:val="uk-UA"/>
        </w:rPr>
        <w:t xml:space="preserve"> (вх. №</w:t>
      </w:r>
      <w:r w:rsidR="00EA13CA">
        <w:rPr>
          <w:sz w:val="28"/>
          <w:szCs w:val="28"/>
          <w:lang w:val="uk-UA"/>
        </w:rPr>
        <w:t xml:space="preserve"> 20826-01-15</w:t>
      </w:r>
      <w:r w:rsidR="00EA13CA" w:rsidRPr="00EA13CA">
        <w:rPr>
          <w:sz w:val="28"/>
          <w:szCs w:val="28"/>
          <w:lang w:val="uk-UA"/>
        </w:rPr>
        <w:t xml:space="preserve"> від </w:t>
      </w:r>
      <w:r w:rsidR="00EA13CA">
        <w:rPr>
          <w:sz w:val="28"/>
          <w:szCs w:val="28"/>
          <w:lang w:val="uk-UA"/>
        </w:rPr>
        <w:t>20</w:t>
      </w:r>
      <w:r w:rsidR="00EA13CA" w:rsidRPr="00EA13CA">
        <w:rPr>
          <w:sz w:val="28"/>
          <w:szCs w:val="28"/>
          <w:lang w:val="uk-UA"/>
        </w:rPr>
        <w:t>.</w:t>
      </w:r>
      <w:r w:rsidR="00EA13CA">
        <w:rPr>
          <w:sz w:val="28"/>
          <w:szCs w:val="28"/>
          <w:lang w:val="uk-UA"/>
        </w:rPr>
        <w:t>11</w:t>
      </w:r>
      <w:r w:rsidR="00EA13CA" w:rsidRPr="00EA13CA">
        <w:rPr>
          <w:sz w:val="28"/>
          <w:szCs w:val="28"/>
          <w:lang w:val="uk-UA"/>
        </w:rPr>
        <w:t>.2017)</w:t>
      </w:r>
      <w:r w:rsidR="00EA13CA">
        <w:rPr>
          <w:sz w:val="28"/>
          <w:szCs w:val="28"/>
          <w:lang w:val="uk-UA"/>
        </w:rPr>
        <w:t xml:space="preserve"> </w:t>
      </w:r>
      <w:r w:rsidRPr="00CC1088">
        <w:rPr>
          <w:sz w:val="28"/>
          <w:szCs w:val="28"/>
          <w:lang w:val="uk-UA"/>
        </w:rPr>
        <w:t xml:space="preserve">виконавчий комітет Черкаської міської ради </w:t>
      </w:r>
    </w:p>
    <w:p w:rsidR="00931E8E" w:rsidRPr="008574A4" w:rsidRDefault="00931E8E" w:rsidP="00931E8E">
      <w:pPr>
        <w:pStyle w:val="a3"/>
        <w:spacing w:after="0"/>
        <w:ind w:firstLine="720"/>
        <w:jc w:val="both"/>
        <w:rPr>
          <w:sz w:val="16"/>
          <w:szCs w:val="16"/>
          <w:lang w:val="uk-UA"/>
        </w:rPr>
      </w:pPr>
    </w:p>
    <w:p w:rsidR="00931E8E" w:rsidRPr="00C950B1" w:rsidRDefault="00931E8E" w:rsidP="00931E8E">
      <w:pPr>
        <w:rPr>
          <w:sz w:val="28"/>
          <w:szCs w:val="28"/>
          <w:lang w:val="uk-UA"/>
        </w:rPr>
      </w:pPr>
      <w:r w:rsidRPr="00C950B1">
        <w:rPr>
          <w:sz w:val="28"/>
          <w:szCs w:val="28"/>
          <w:lang w:val="uk-UA"/>
        </w:rPr>
        <w:t>ВИРІШИВ:</w:t>
      </w:r>
    </w:p>
    <w:p w:rsidR="00931E8E" w:rsidRPr="00C23339" w:rsidRDefault="00931E8E" w:rsidP="00931E8E">
      <w:pPr>
        <w:pStyle w:val="a5"/>
        <w:ind w:left="0"/>
        <w:jc w:val="both"/>
        <w:rPr>
          <w:b/>
          <w:sz w:val="10"/>
          <w:szCs w:val="10"/>
          <w:lang w:val="uk-UA"/>
        </w:rPr>
      </w:pPr>
    </w:p>
    <w:p w:rsidR="00931E8E" w:rsidRDefault="00931E8E" w:rsidP="00F568FF">
      <w:pPr>
        <w:ind w:firstLine="708"/>
        <w:jc w:val="both"/>
        <w:rPr>
          <w:sz w:val="28"/>
          <w:szCs w:val="28"/>
          <w:lang w:val="uk-UA"/>
        </w:rPr>
      </w:pPr>
      <w:r w:rsidRPr="00262612">
        <w:rPr>
          <w:sz w:val="28"/>
          <w:szCs w:val="28"/>
          <w:lang w:val="uk-UA"/>
        </w:rPr>
        <w:t>1.</w:t>
      </w:r>
      <w:r>
        <w:rPr>
          <w:b/>
          <w:sz w:val="16"/>
          <w:szCs w:val="16"/>
          <w:lang w:val="uk-UA"/>
        </w:rPr>
        <w:t xml:space="preserve"> </w:t>
      </w:r>
      <w:r w:rsidRPr="0066441E">
        <w:rPr>
          <w:sz w:val="28"/>
          <w:szCs w:val="28"/>
          <w:lang w:val="uk-UA"/>
        </w:rPr>
        <w:t xml:space="preserve">Передати в межах головного розпорядника коштів з балансу </w:t>
      </w:r>
      <w:r w:rsidR="00EA13CA">
        <w:rPr>
          <w:sz w:val="28"/>
          <w:szCs w:val="28"/>
          <w:lang w:val="uk-UA"/>
        </w:rPr>
        <w:t>комплексної дитячо-юнацької спортивної школи Черкаської міської ради</w:t>
      </w:r>
      <w:r>
        <w:rPr>
          <w:sz w:val="28"/>
          <w:szCs w:val="28"/>
          <w:lang w:val="uk-UA"/>
        </w:rPr>
        <w:t xml:space="preserve"> на баланс </w:t>
      </w:r>
      <w:r w:rsidR="00EA13CA">
        <w:rPr>
          <w:sz w:val="28"/>
          <w:szCs w:val="28"/>
          <w:lang w:val="uk-UA"/>
        </w:rPr>
        <w:t>комплексної дитячо-юнацької спортивної школи «Спартак» Ч</w:t>
      </w:r>
      <w:r>
        <w:rPr>
          <w:sz w:val="28"/>
          <w:szCs w:val="28"/>
          <w:lang w:val="uk-UA"/>
        </w:rPr>
        <w:t xml:space="preserve">еркаської міської ради, </w:t>
      </w:r>
      <w:r w:rsidRPr="0066441E">
        <w:rPr>
          <w:sz w:val="28"/>
          <w:szCs w:val="28"/>
          <w:lang w:val="uk-UA"/>
        </w:rPr>
        <w:t xml:space="preserve">для подальшого утримання та використання </w:t>
      </w:r>
      <w:r w:rsidR="00EA13CA">
        <w:rPr>
          <w:sz w:val="28"/>
          <w:szCs w:val="28"/>
          <w:lang w:val="uk-UA"/>
        </w:rPr>
        <w:t>майно</w:t>
      </w:r>
      <w:r w:rsidRPr="0066441E">
        <w:rPr>
          <w:sz w:val="28"/>
          <w:szCs w:val="28"/>
          <w:lang w:val="uk-UA"/>
        </w:rPr>
        <w:t>, а саме:</w:t>
      </w:r>
    </w:p>
    <w:tbl>
      <w:tblPr>
        <w:tblpPr w:leftFromText="180" w:rightFromText="180" w:vertAnchor="text" w:horzAnchor="margin" w:tblpY="124"/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1701"/>
        <w:gridCol w:w="1375"/>
        <w:gridCol w:w="1605"/>
        <w:gridCol w:w="1555"/>
      </w:tblGrid>
      <w:tr w:rsidR="00931E8E" w:rsidTr="00F568F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8E" w:rsidRDefault="00931E8E" w:rsidP="0086446C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матеріальних цінностей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8E" w:rsidRDefault="00931E8E" w:rsidP="0086446C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8E" w:rsidRDefault="00931E8E" w:rsidP="0086446C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8E" w:rsidRDefault="00931E8E" w:rsidP="0086446C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Первісна вартість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8E" w:rsidRDefault="00931E8E" w:rsidP="0086446C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з урахуванням зносу</w:t>
            </w:r>
          </w:p>
        </w:tc>
      </w:tr>
      <w:tr w:rsidR="00791507" w:rsidTr="00F568F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Вентилятор подачі повітря до зали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lang w:val="uk-UA"/>
              </w:rPr>
              <w:t>11370012/1-2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EA13CA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67,00</w:t>
            </w:r>
          </w:p>
        </w:tc>
      </w:tr>
      <w:tr w:rsidR="00791507" w:rsidTr="00F568F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lang w:val="uk-UA"/>
              </w:rPr>
              <w:t>11360123/1-2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F568FF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110,00</w:t>
            </w:r>
          </w:p>
        </w:tc>
      </w:tr>
      <w:tr w:rsidR="00791507" w:rsidTr="00F568F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Лічильник води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lang w:val="uk-UA"/>
              </w:rPr>
              <w:t>11370013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F568FF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30,00</w:t>
            </w:r>
          </w:p>
        </w:tc>
      </w:tr>
      <w:tr w:rsidR="00791507" w:rsidTr="00F568F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Лічильник холодної води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lang w:val="uk-UA"/>
              </w:rPr>
              <w:t>11370014/1-2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F568FF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75,00</w:t>
            </w:r>
          </w:p>
        </w:tc>
      </w:tr>
      <w:tr w:rsidR="00791507" w:rsidTr="00F568F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Електролічильник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lang w:val="uk-UA"/>
              </w:rPr>
              <w:t>11370015/1-2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F568FF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724,00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362,00</w:t>
            </w:r>
          </w:p>
        </w:tc>
      </w:tr>
      <w:tr w:rsidR="00791507" w:rsidTr="00F568F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Решітки металеві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lang w:val="uk-UA"/>
              </w:rPr>
              <w:t>11360124/1-2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F568FF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341,00</w:t>
            </w:r>
          </w:p>
        </w:tc>
      </w:tr>
      <w:tr w:rsidR="00791507" w:rsidTr="00F568F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Лічильник тепла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lang w:val="uk-UA"/>
              </w:rPr>
              <w:t>10430003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F568FF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791507" w:rsidTr="00F568F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Мембрана покрівельна «</w:t>
            </w:r>
            <w:proofErr w:type="spellStart"/>
            <w:r>
              <w:rPr>
                <w:sz w:val="28"/>
                <w:szCs w:val="28"/>
                <w:lang w:val="uk-UA"/>
              </w:rPr>
              <w:t>Спортекс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F568FF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 кв. 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2610,00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05857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2610,00</w:t>
            </w:r>
          </w:p>
        </w:tc>
      </w:tr>
      <w:tr w:rsidR="00791507" w:rsidTr="00F568FF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Default="00791507" w:rsidP="00791507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7" w:rsidRDefault="00791507" w:rsidP="00791507">
            <w:pPr>
              <w:rPr>
                <w:lang w:val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7" w:rsidRPr="00F568FF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07" w:rsidRPr="009C6FA4" w:rsidRDefault="00791507" w:rsidP="00791507">
            <w:r>
              <w:rPr>
                <w:sz w:val="28"/>
                <w:szCs w:val="28"/>
                <w:lang w:val="uk-UA"/>
              </w:rPr>
              <w:t>5080</w:t>
            </w:r>
            <w:r w:rsidRPr="009C6FA4">
              <w:rPr>
                <w:sz w:val="28"/>
                <w:szCs w:val="28"/>
              </w:rPr>
              <w:t>,</w:t>
            </w:r>
            <w:r w:rsidRPr="00ED6BAD">
              <w:rPr>
                <w:sz w:val="28"/>
                <w:szCs w:val="28"/>
              </w:rPr>
              <w:t>0</w:t>
            </w:r>
            <w:r w:rsidRPr="009C6FA4">
              <w:rPr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07" w:rsidRPr="00F568FF" w:rsidRDefault="00791507" w:rsidP="0079150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3595,00</w:t>
            </w:r>
          </w:p>
        </w:tc>
      </w:tr>
    </w:tbl>
    <w:p w:rsidR="00931E8E" w:rsidRPr="009C6FA4" w:rsidRDefault="00931E8E" w:rsidP="00931E8E">
      <w:pPr>
        <w:ind w:firstLine="708"/>
        <w:jc w:val="both"/>
        <w:rPr>
          <w:sz w:val="28"/>
          <w:szCs w:val="28"/>
        </w:rPr>
      </w:pPr>
    </w:p>
    <w:p w:rsidR="00931E8E" w:rsidRDefault="00931E8E" w:rsidP="00931E8E">
      <w:pPr>
        <w:ind w:firstLine="708"/>
        <w:jc w:val="both"/>
        <w:rPr>
          <w:sz w:val="28"/>
          <w:szCs w:val="28"/>
          <w:lang w:val="uk-UA"/>
        </w:rPr>
      </w:pPr>
      <w:r w:rsidRPr="0006078E">
        <w:rPr>
          <w:sz w:val="28"/>
          <w:szCs w:val="28"/>
          <w:lang w:val="uk-UA"/>
        </w:rPr>
        <w:t xml:space="preserve">2. </w:t>
      </w:r>
      <w:r w:rsidRPr="002D221B">
        <w:rPr>
          <w:sz w:val="28"/>
          <w:szCs w:val="28"/>
          <w:lang w:val="uk-UA"/>
        </w:rPr>
        <w:t>Утворити</w:t>
      </w:r>
      <w:r>
        <w:rPr>
          <w:sz w:val="28"/>
          <w:szCs w:val="28"/>
          <w:lang w:val="uk-UA"/>
        </w:rPr>
        <w:t xml:space="preserve"> комісію для прийому-передачі матеріальних цінностей з </w:t>
      </w:r>
      <w:r w:rsidRPr="00923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балансу департаменту освіти та гуманітарної політики Черкаської міської ради  у складі:</w:t>
      </w:r>
    </w:p>
    <w:p w:rsidR="00931E8E" w:rsidRDefault="00931E8E" w:rsidP="00931E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Pr="00615225">
        <w:rPr>
          <w:sz w:val="28"/>
          <w:szCs w:val="28"/>
          <w:lang w:val="uk-UA"/>
        </w:rPr>
        <w:t>Голова комісії:</w:t>
      </w:r>
    </w:p>
    <w:p w:rsidR="00931E8E" w:rsidRDefault="00931E8E" w:rsidP="00931E8E">
      <w:pPr>
        <w:ind w:firstLine="708"/>
        <w:jc w:val="both"/>
        <w:rPr>
          <w:sz w:val="28"/>
          <w:lang w:val="uk-UA"/>
        </w:rPr>
      </w:pPr>
      <w:proofErr w:type="spellStart"/>
      <w:r>
        <w:rPr>
          <w:sz w:val="28"/>
          <w:szCs w:val="28"/>
          <w:lang w:val="uk-UA"/>
        </w:rPr>
        <w:t>Бєлов</w:t>
      </w:r>
      <w:proofErr w:type="spellEnd"/>
      <w:r>
        <w:rPr>
          <w:sz w:val="28"/>
          <w:szCs w:val="28"/>
          <w:lang w:val="uk-UA"/>
        </w:rPr>
        <w:t xml:space="preserve"> Б.О. – заступник директора департаменту освіти та гуманітарної політики Черкаської міської ради</w:t>
      </w:r>
      <w:r>
        <w:rPr>
          <w:sz w:val="28"/>
          <w:lang w:val="uk-UA"/>
        </w:rPr>
        <w:t>.</w:t>
      </w:r>
    </w:p>
    <w:p w:rsidR="00931E8E" w:rsidRDefault="00931E8E" w:rsidP="00931E8E">
      <w:pPr>
        <w:ind w:firstLine="708"/>
        <w:jc w:val="both"/>
        <w:rPr>
          <w:sz w:val="28"/>
          <w:lang w:val="uk-UA"/>
        </w:rPr>
      </w:pPr>
    </w:p>
    <w:p w:rsidR="00931E8E" w:rsidRDefault="00931E8E" w:rsidP="00931E8E">
      <w:pPr>
        <w:tabs>
          <w:tab w:val="left" w:pos="720"/>
          <w:tab w:val="left" w:pos="3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Заступник голови:</w:t>
      </w:r>
    </w:p>
    <w:p w:rsidR="00931E8E" w:rsidRDefault="00931E8E" w:rsidP="00931E8E">
      <w:pPr>
        <w:tabs>
          <w:tab w:val="num" w:pos="-851"/>
          <w:tab w:val="left" w:pos="426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Мальована С.В. – головний бухгалтер централізованої бухгалтерії № 4  департаменту освіти та гуманітарної політики Черкаської міської ради.</w:t>
      </w:r>
    </w:p>
    <w:p w:rsidR="00931E8E" w:rsidRDefault="00931E8E" w:rsidP="00931E8E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ab/>
      </w:r>
    </w:p>
    <w:p w:rsidR="00931E8E" w:rsidRPr="00B36F1F" w:rsidRDefault="00F568FF" w:rsidP="00931E8E">
      <w:pPr>
        <w:ind w:left="-142" w:firstLine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Лихацький А.Г.</w:t>
      </w:r>
      <w:r w:rsidR="00931E8E">
        <w:rPr>
          <w:sz w:val="28"/>
          <w:szCs w:val="28"/>
          <w:lang w:val="uk-UA"/>
        </w:rPr>
        <w:t xml:space="preserve"> – </w:t>
      </w:r>
      <w:r w:rsidR="003A65D8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>комплексної дитячо-юнацької спортивної школи Черкаської міської ради</w:t>
      </w:r>
      <w:r w:rsidR="00931E8E">
        <w:rPr>
          <w:sz w:val="28"/>
          <w:szCs w:val="28"/>
          <w:lang w:val="uk-UA"/>
        </w:rPr>
        <w:t>;</w:t>
      </w:r>
    </w:p>
    <w:p w:rsidR="00931E8E" w:rsidRPr="00B36F1F" w:rsidRDefault="00F568FF" w:rsidP="00931E8E">
      <w:pPr>
        <w:ind w:left="-142" w:firstLine="85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Бордовська</w:t>
      </w:r>
      <w:proofErr w:type="spellEnd"/>
      <w:r>
        <w:rPr>
          <w:sz w:val="28"/>
          <w:szCs w:val="28"/>
          <w:lang w:val="uk-UA"/>
        </w:rPr>
        <w:t xml:space="preserve"> Т.В.</w:t>
      </w:r>
      <w:r w:rsidR="00931E8E">
        <w:rPr>
          <w:sz w:val="28"/>
          <w:szCs w:val="28"/>
          <w:lang w:val="uk-UA"/>
        </w:rPr>
        <w:t xml:space="preserve"> – </w:t>
      </w:r>
      <w:r w:rsidR="003A65D8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>комплексної дитячо-юнацької спортивної школи «Спартак»  Черкаської міської ради</w:t>
      </w:r>
      <w:r w:rsidR="00931E8E">
        <w:rPr>
          <w:sz w:val="28"/>
          <w:szCs w:val="28"/>
          <w:lang w:val="uk-UA"/>
        </w:rPr>
        <w:t>.</w:t>
      </w:r>
    </w:p>
    <w:p w:rsidR="00931E8E" w:rsidRPr="00B36F1F" w:rsidRDefault="00931E8E" w:rsidP="00931E8E">
      <w:pPr>
        <w:ind w:left="-142" w:firstLine="850"/>
        <w:rPr>
          <w:sz w:val="28"/>
          <w:szCs w:val="28"/>
          <w:lang w:val="uk-UA"/>
        </w:rPr>
      </w:pPr>
    </w:p>
    <w:p w:rsidR="00931E8E" w:rsidRPr="00D3574A" w:rsidRDefault="00931E8E" w:rsidP="00931E8E">
      <w:pPr>
        <w:tabs>
          <w:tab w:val="left" w:pos="72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3. Голові комісії </w:t>
      </w:r>
      <w:proofErr w:type="spellStart"/>
      <w:r>
        <w:rPr>
          <w:sz w:val="28"/>
          <w:szCs w:val="28"/>
          <w:lang w:val="uk-UA"/>
        </w:rPr>
        <w:t>Бєлову</w:t>
      </w:r>
      <w:proofErr w:type="spellEnd"/>
      <w:r>
        <w:rPr>
          <w:sz w:val="28"/>
          <w:szCs w:val="28"/>
          <w:lang w:val="uk-UA"/>
        </w:rPr>
        <w:t xml:space="preserve"> Б.О. акти прийому-передачі подати на затвердження директору департаменту освіти та гуманітарної політики Черкаської міської ради </w:t>
      </w:r>
      <w:r w:rsidRPr="00B97676">
        <w:rPr>
          <w:sz w:val="28"/>
          <w:szCs w:val="28"/>
          <w:lang w:val="uk-UA"/>
        </w:rPr>
        <w:t>Волошину І.</w:t>
      </w:r>
      <w:r>
        <w:rPr>
          <w:sz w:val="28"/>
          <w:szCs w:val="28"/>
          <w:lang w:val="uk-UA"/>
        </w:rPr>
        <w:t>В., в місячний термін з дня прийняття цього рішення</w:t>
      </w:r>
      <w:r w:rsidRPr="00970297">
        <w:rPr>
          <w:color w:val="000000"/>
          <w:sz w:val="28"/>
          <w:szCs w:val="28"/>
          <w:lang w:val="uk-UA"/>
        </w:rPr>
        <w:t>.</w:t>
      </w:r>
    </w:p>
    <w:p w:rsidR="00931E8E" w:rsidRDefault="00931E8E" w:rsidP="00931E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Контроль за виконанням рішення покласти на директора департаменту освіти та гуманітарної політики Волошина І.В.</w:t>
      </w:r>
    </w:p>
    <w:p w:rsidR="00931E8E" w:rsidRDefault="00931E8E" w:rsidP="00931E8E">
      <w:pPr>
        <w:jc w:val="both"/>
        <w:rPr>
          <w:sz w:val="28"/>
          <w:szCs w:val="28"/>
          <w:lang w:val="uk-UA"/>
        </w:rPr>
      </w:pPr>
    </w:p>
    <w:p w:rsidR="00931E8E" w:rsidRDefault="00931E8E" w:rsidP="00931E8E">
      <w:pPr>
        <w:jc w:val="both"/>
        <w:rPr>
          <w:sz w:val="28"/>
          <w:szCs w:val="28"/>
          <w:lang w:val="uk-UA"/>
        </w:rPr>
      </w:pPr>
    </w:p>
    <w:p w:rsidR="00931E8E" w:rsidRDefault="00931E8E" w:rsidP="00931E8E">
      <w:pPr>
        <w:jc w:val="both"/>
        <w:rPr>
          <w:sz w:val="28"/>
          <w:szCs w:val="28"/>
          <w:lang w:val="uk-UA"/>
        </w:rPr>
      </w:pPr>
    </w:p>
    <w:p w:rsidR="00931E8E" w:rsidRDefault="00931E8E" w:rsidP="00931E8E">
      <w:pPr>
        <w:jc w:val="both"/>
        <w:rPr>
          <w:sz w:val="28"/>
          <w:szCs w:val="28"/>
          <w:lang w:val="uk-UA"/>
        </w:rPr>
      </w:pPr>
    </w:p>
    <w:p w:rsidR="00931E8E" w:rsidRPr="00C950B1" w:rsidRDefault="00931E8E" w:rsidP="00931E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</w:t>
      </w:r>
      <w:r w:rsidRPr="00C950B1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C950B1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</w:t>
      </w:r>
      <w:r w:rsidRPr="00C950B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А.В.Бондаренко</w:t>
      </w:r>
    </w:p>
    <w:p w:rsidR="00931E8E" w:rsidRDefault="00931E8E" w:rsidP="00931E8E">
      <w:pPr>
        <w:jc w:val="both"/>
        <w:rPr>
          <w:b/>
          <w:sz w:val="28"/>
          <w:szCs w:val="28"/>
          <w:lang w:val="uk-UA"/>
        </w:rPr>
      </w:pPr>
    </w:p>
    <w:p w:rsidR="00931E8E" w:rsidRDefault="00931E8E" w:rsidP="00931E8E">
      <w:pPr>
        <w:jc w:val="both"/>
        <w:rPr>
          <w:b/>
          <w:sz w:val="28"/>
          <w:szCs w:val="28"/>
          <w:lang w:val="uk-UA"/>
        </w:rPr>
      </w:pPr>
    </w:p>
    <w:p w:rsidR="00931E8E" w:rsidRDefault="00931E8E" w:rsidP="00931E8E">
      <w:pPr>
        <w:jc w:val="both"/>
        <w:rPr>
          <w:b/>
          <w:sz w:val="28"/>
          <w:szCs w:val="28"/>
          <w:lang w:val="uk-UA"/>
        </w:rPr>
      </w:pPr>
    </w:p>
    <w:p w:rsidR="00931E8E" w:rsidRDefault="00931E8E" w:rsidP="00931E8E">
      <w:pPr>
        <w:jc w:val="both"/>
        <w:rPr>
          <w:b/>
          <w:sz w:val="28"/>
          <w:szCs w:val="28"/>
          <w:lang w:val="uk-UA"/>
        </w:rPr>
      </w:pPr>
    </w:p>
    <w:p w:rsidR="00931E8E" w:rsidRDefault="00931E8E" w:rsidP="00931E8E">
      <w:pPr>
        <w:jc w:val="both"/>
        <w:rPr>
          <w:b/>
          <w:sz w:val="28"/>
          <w:szCs w:val="28"/>
          <w:lang w:val="uk-UA"/>
        </w:rPr>
      </w:pPr>
    </w:p>
    <w:p w:rsidR="00931E8E" w:rsidRDefault="00931E8E" w:rsidP="00931E8E">
      <w:pPr>
        <w:jc w:val="both"/>
        <w:rPr>
          <w:b/>
          <w:sz w:val="28"/>
          <w:szCs w:val="28"/>
          <w:lang w:val="uk-UA"/>
        </w:rPr>
      </w:pPr>
    </w:p>
    <w:p w:rsidR="00931E8E" w:rsidRDefault="00931E8E" w:rsidP="00931E8E">
      <w:pPr>
        <w:jc w:val="both"/>
        <w:rPr>
          <w:b/>
          <w:sz w:val="28"/>
          <w:szCs w:val="28"/>
          <w:lang w:val="uk-UA"/>
        </w:rPr>
      </w:pPr>
    </w:p>
    <w:p w:rsidR="00931E8E" w:rsidRDefault="00931E8E" w:rsidP="00931E8E">
      <w:pPr>
        <w:jc w:val="both"/>
        <w:rPr>
          <w:b/>
          <w:sz w:val="28"/>
          <w:szCs w:val="28"/>
          <w:lang w:val="uk-UA"/>
        </w:rPr>
      </w:pPr>
    </w:p>
    <w:p w:rsidR="00931E8E" w:rsidRDefault="00931E8E" w:rsidP="00931E8E">
      <w:pPr>
        <w:jc w:val="both"/>
        <w:rPr>
          <w:b/>
          <w:sz w:val="28"/>
          <w:szCs w:val="28"/>
          <w:lang w:val="uk-UA"/>
        </w:rPr>
      </w:pPr>
    </w:p>
    <w:p w:rsidR="00931E8E" w:rsidRDefault="00931E8E" w:rsidP="00931E8E">
      <w:pPr>
        <w:jc w:val="both"/>
        <w:rPr>
          <w:b/>
          <w:sz w:val="28"/>
          <w:szCs w:val="28"/>
          <w:lang w:val="uk-UA"/>
        </w:rPr>
      </w:pPr>
    </w:p>
    <w:p w:rsidR="00931E8E" w:rsidRDefault="00931E8E" w:rsidP="00931E8E">
      <w:pPr>
        <w:jc w:val="both"/>
        <w:rPr>
          <w:b/>
          <w:sz w:val="28"/>
          <w:szCs w:val="28"/>
          <w:lang w:val="uk-UA"/>
        </w:rPr>
      </w:pPr>
    </w:p>
    <w:p w:rsidR="00931E8E" w:rsidRDefault="00931E8E" w:rsidP="00931E8E">
      <w:pPr>
        <w:jc w:val="both"/>
        <w:rPr>
          <w:b/>
          <w:sz w:val="28"/>
          <w:szCs w:val="28"/>
          <w:lang w:val="uk-UA"/>
        </w:rPr>
      </w:pPr>
    </w:p>
    <w:p w:rsidR="00931E8E" w:rsidRDefault="00931E8E" w:rsidP="00931E8E">
      <w:pPr>
        <w:jc w:val="both"/>
        <w:rPr>
          <w:b/>
          <w:sz w:val="28"/>
          <w:szCs w:val="28"/>
          <w:lang w:val="uk-UA"/>
        </w:rPr>
      </w:pPr>
    </w:p>
    <w:p w:rsidR="00931E8E" w:rsidRDefault="00931E8E" w:rsidP="00931E8E">
      <w:pPr>
        <w:jc w:val="both"/>
        <w:rPr>
          <w:b/>
          <w:sz w:val="28"/>
          <w:szCs w:val="28"/>
          <w:lang w:val="uk-UA"/>
        </w:rPr>
      </w:pPr>
    </w:p>
    <w:p w:rsidR="00931E8E" w:rsidRDefault="00931E8E" w:rsidP="00931E8E">
      <w:pPr>
        <w:jc w:val="both"/>
        <w:rPr>
          <w:b/>
          <w:sz w:val="28"/>
          <w:szCs w:val="28"/>
          <w:lang w:val="uk-UA"/>
        </w:rPr>
      </w:pPr>
    </w:p>
    <w:p w:rsidR="00931E8E" w:rsidRPr="00DE4686" w:rsidRDefault="00931E8E" w:rsidP="00931E8E">
      <w:pPr>
        <w:jc w:val="both"/>
        <w:rPr>
          <w:sz w:val="22"/>
          <w:szCs w:val="22"/>
          <w:lang w:val="uk-UA"/>
        </w:rPr>
      </w:pPr>
      <w:r w:rsidRPr="00DE4686">
        <w:rPr>
          <w:sz w:val="22"/>
          <w:szCs w:val="22"/>
          <w:lang w:val="uk-UA"/>
        </w:rPr>
        <w:t>Погоджено:</w:t>
      </w:r>
    </w:p>
    <w:p w:rsidR="00931E8E" w:rsidRPr="00DE4686" w:rsidRDefault="00931E8E" w:rsidP="00931E8E">
      <w:pPr>
        <w:jc w:val="both"/>
        <w:rPr>
          <w:sz w:val="22"/>
          <w:szCs w:val="22"/>
          <w:lang w:val="uk-UA"/>
        </w:rPr>
      </w:pPr>
    </w:p>
    <w:p w:rsidR="00931E8E" w:rsidRDefault="00931E8E" w:rsidP="00931E8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Заступник міського голови</w:t>
      </w:r>
    </w:p>
    <w:p w:rsidR="00931E8E" w:rsidRDefault="00931E8E" w:rsidP="00931E8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 питань діяльності виконавчих органів ради                                                      І.А. </w:t>
      </w:r>
      <w:proofErr w:type="spellStart"/>
      <w:r>
        <w:rPr>
          <w:sz w:val="22"/>
          <w:szCs w:val="22"/>
          <w:lang w:val="uk-UA"/>
        </w:rPr>
        <w:t>Коломоєць</w:t>
      </w:r>
      <w:proofErr w:type="spellEnd"/>
    </w:p>
    <w:p w:rsidR="00931E8E" w:rsidRDefault="00931E8E" w:rsidP="00931E8E">
      <w:pPr>
        <w:jc w:val="both"/>
        <w:rPr>
          <w:sz w:val="22"/>
          <w:szCs w:val="22"/>
          <w:lang w:val="uk-UA"/>
        </w:rPr>
      </w:pPr>
    </w:p>
    <w:p w:rsidR="00931E8E" w:rsidRDefault="00931E8E" w:rsidP="00931E8E">
      <w:pPr>
        <w:jc w:val="both"/>
        <w:rPr>
          <w:sz w:val="22"/>
          <w:szCs w:val="22"/>
          <w:lang w:val="uk-UA"/>
        </w:rPr>
      </w:pPr>
    </w:p>
    <w:p w:rsidR="00931E8E" w:rsidRPr="00DE4686" w:rsidRDefault="00081B71" w:rsidP="00931E8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Заступник д</w:t>
      </w:r>
      <w:r w:rsidR="00931E8E" w:rsidRPr="00DE4686">
        <w:rPr>
          <w:sz w:val="22"/>
          <w:szCs w:val="22"/>
          <w:lang w:val="uk-UA"/>
        </w:rPr>
        <w:t>иректор</w:t>
      </w:r>
      <w:r>
        <w:rPr>
          <w:sz w:val="22"/>
          <w:szCs w:val="22"/>
          <w:lang w:val="uk-UA"/>
        </w:rPr>
        <w:t>а</w:t>
      </w:r>
      <w:r w:rsidR="00931E8E" w:rsidRPr="00DE4686">
        <w:rPr>
          <w:sz w:val="22"/>
          <w:szCs w:val="22"/>
          <w:lang w:val="uk-UA"/>
        </w:rPr>
        <w:t xml:space="preserve"> департаменту освіти та </w:t>
      </w:r>
    </w:p>
    <w:p w:rsidR="00931E8E" w:rsidRDefault="00931E8E" w:rsidP="00931E8E">
      <w:pPr>
        <w:jc w:val="both"/>
        <w:rPr>
          <w:sz w:val="22"/>
          <w:szCs w:val="22"/>
          <w:lang w:val="uk-UA"/>
        </w:rPr>
      </w:pPr>
      <w:r w:rsidRPr="00DE4686">
        <w:rPr>
          <w:sz w:val="22"/>
          <w:szCs w:val="22"/>
          <w:lang w:val="uk-UA"/>
        </w:rPr>
        <w:t xml:space="preserve">гуманітарної політики                                                            </w:t>
      </w:r>
      <w:r>
        <w:rPr>
          <w:sz w:val="22"/>
          <w:szCs w:val="22"/>
          <w:lang w:val="uk-UA"/>
        </w:rPr>
        <w:t xml:space="preserve">                           </w:t>
      </w:r>
      <w:r w:rsidRPr="00DE4686">
        <w:rPr>
          <w:sz w:val="22"/>
          <w:szCs w:val="22"/>
          <w:lang w:val="uk-UA"/>
        </w:rPr>
        <w:t xml:space="preserve"> </w:t>
      </w:r>
      <w:r w:rsidR="00081B71">
        <w:rPr>
          <w:sz w:val="22"/>
          <w:szCs w:val="22"/>
          <w:lang w:val="uk-UA"/>
        </w:rPr>
        <w:t>М</w:t>
      </w:r>
      <w:r>
        <w:rPr>
          <w:sz w:val="22"/>
          <w:szCs w:val="22"/>
          <w:lang w:val="uk-UA"/>
        </w:rPr>
        <w:t>.В.</w:t>
      </w:r>
      <w:r w:rsidR="00081B71">
        <w:rPr>
          <w:sz w:val="22"/>
          <w:szCs w:val="22"/>
          <w:lang w:val="uk-UA"/>
        </w:rPr>
        <w:t xml:space="preserve"> </w:t>
      </w:r>
      <w:proofErr w:type="spellStart"/>
      <w:r w:rsidR="00081B71">
        <w:rPr>
          <w:sz w:val="22"/>
          <w:szCs w:val="22"/>
          <w:lang w:val="uk-UA"/>
        </w:rPr>
        <w:t>Шадловський</w:t>
      </w:r>
      <w:proofErr w:type="spellEnd"/>
    </w:p>
    <w:p w:rsidR="00931E8E" w:rsidRDefault="00931E8E" w:rsidP="00931E8E">
      <w:pPr>
        <w:jc w:val="both"/>
        <w:rPr>
          <w:sz w:val="22"/>
          <w:szCs w:val="22"/>
          <w:lang w:val="uk-UA"/>
        </w:rPr>
      </w:pPr>
    </w:p>
    <w:p w:rsidR="00931E8E" w:rsidRPr="00DE4686" w:rsidRDefault="00931E8E" w:rsidP="00931E8E">
      <w:pPr>
        <w:jc w:val="both"/>
        <w:rPr>
          <w:sz w:val="22"/>
          <w:szCs w:val="22"/>
          <w:lang w:val="uk-UA"/>
        </w:rPr>
      </w:pPr>
    </w:p>
    <w:p w:rsidR="00931E8E" w:rsidRPr="00DE4686" w:rsidRDefault="00931E8E" w:rsidP="00931E8E">
      <w:pPr>
        <w:jc w:val="both"/>
        <w:rPr>
          <w:sz w:val="22"/>
          <w:szCs w:val="22"/>
          <w:lang w:val="uk-UA"/>
        </w:rPr>
      </w:pPr>
      <w:r w:rsidRPr="00DE4686">
        <w:rPr>
          <w:sz w:val="22"/>
          <w:szCs w:val="22"/>
          <w:lang w:val="uk-UA"/>
        </w:rPr>
        <w:t xml:space="preserve">Директор департаменту економіки </w:t>
      </w:r>
    </w:p>
    <w:p w:rsidR="00931E8E" w:rsidRPr="00DE4686" w:rsidRDefault="00931E8E" w:rsidP="00931E8E">
      <w:pPr>
        <w:jc w:val="both"/>
        <w:rPr>
          <w:sz w:val="22"/>
          <w:szCs w:val="22"/>
          <w:lang w:val="uk-UA"/>
        </w:rPr>
      </w:pPr>
      <w:r w:rsidRPr="00DE4686">
        <w:rPr>
          <w:sz w:val="22"/>
          <w:szCs w:val="22"/>
          <w:lang w:val="uk-UA"/>
        </w:rPr>
        <w:t xml:space="preserve">та розвитку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</w:t>
      </w:r>
      <w:r w:rsidRPr="00DE4686">
        <w:rPr>
          <w:sz w:val="22"/>
          <w:szCs w:val="22"/>
          <w:lang w:val="uk-UA"/>
        </w:rPr>
        <w:t xml:space="preserve">   </w:t>
      </w:r>
      <w:r>
        <w:rPr>
          <w:sz w:val="22"/>
          <w:szCs w:val="22"/>
          <w:lang w:val="uk-UA"/>
        </w:rPr>
        <w:t xml:space="preserve">           </w:t>
      </w:r>
      <w:r w:rsidRPr="00DE4686">
        <w:rPr>
          <w:sz w:val="22"/>
          <w:szCs w:val="22"/>
          <w:lang w:val="uk-UA"/>
        </w:rPr>
        <w:t xml:space="preserve">  І.І. Удод</w:t>
      </w:r>
    </w:p>
    <w:p w:rsidR="00931E8E" w:rsidRPr="00DE4686" w:rsidRDefault="00931E8E" w:rsidP="00931E8E">
      <w:pPr>
        <w:jc w:val="both"/>
        <w:rPr>
          <w:sz w:val="22"/>
          <w:szCs w:val="22"/>
          <w:lang w:val="uk-UA"/>
        </w:rPr>
      </w:pPr>
    </w:p>
    <w:p w:rsidR="00931E8E" w:rsidRPr="00DE4686" w:rsidRDefault="00931E8E" w:rsidP="00931E8E">
      <w:pPr>
        <w:jc w:val="both"/>
        <w:rPr>
          <w:sz w:val="22"/>
          <w:szCs w:val="22"/>
          <w:lang w:val="uk-UA"/>
        </w:rPr>
      </w:pPr>
    </w:p>
    <w:p w:rsidR="00931E8E" w:rsidRPr="00DE4686" w:rsidRDefault="00931E8E" w:rsidP="00931E8E">
      <w:pPr>
        <w:jc w:val="both"/>
        <w:rPr>
          <w:sz w:val="22"/>
          <w:szCs w:val="22"/>
          <w:lang w:val="uk-UA"/>
        </w:rPr>
      </w:pPr>
      <w:r w:rsidRPr="00DE4686">
        <w:rPr>
          <w:sz w:val="22"/>
          <w:szCs w:val="22"/>
          <w:lang w:val="uk-UA"/>
        </w:rPr>
        <w:t>Начальник відділу з питань роботи виконкому</w:t>
      </w:r>
      <w:r w:rsidRPr="00DE4686">
        <w:rPr>
          <w:sz w:val="22"/>
          <w:szCs w:val="22"/>
          <w:lang w:val="uk-UA"/>
        </w:rPr>
        <w:tab/>
        <w:t xml:space="preserve">      </w:t>
      </w:r>
      <w:r>
        <w:rPr>
          <w:sz w:val="22"/>
          <w:szCs w:val="22"/>
          <w:lang w:val="uk-UA"/>
        </w:rPr>
        <w:t xml:space="preserve">                </w:t>
      </w:r>
      <w:r w:rsidRPr="00DE4686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                  </w:t>
      </w:r>
      <w:r w:rsidRPr="00DE4686">
        <w:rPr>
          <w:sz w:val="22"/>
          <w:szCs w:val="22"/>
          <w:lang w:val="uk-UA"/>
        </w:rPr>
        <w:t>Ж.І. Гаврилова</w:t>
      </w:r>
    </w:p>
    <w:p w:rsidR="00931E8E" w:rsidRPr="00DE4686" w:rsidRDefault="00931E8E" w:rsidP="00931E8E">
      <w:pPr>
        <w:jc w:val="both"/>
        <w:rPr>
          <w:sz w:val="22"/>
          <w:szCs w:val="22"/>
          <w:lang w:val="uk-UA"/>
        </w:rPr>
      </w:pPr>
    </w:p>
    <w:p w:rsidR="00931E8E" w:rsidRPr="00DE4686" w:rsidRDefault="00931E8E" w:rsidP="00931E8E">
      <w:pPr>
        <w:jc w:val="both"/>
        <w:rPr>
          <w:sz w:val="22"/>
          <w:szCs w:val="22"/>
          <w:lang w:val="uk-UA"/>
        </w:rPr>
      </w:pPr>
    </w:p>
    <w:p w:rsidR="00931E8E" w:rsidRDefault="00931E8E" w:rsidP="00931E8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Заступник начальника управління - начальник  в</w:t>
      </w:r>
      <w:r w:rsidRPr="00DE4686">
        <w:rPr>
          <w:sz w:val="22"/>
          <w:szCs w:val="22"/>
          <w:lang w:val="uk-UA"/>
        </w:rPr>
        <w:t>ідділу</w:t>
      </w:r>
      <w:r>
        <w:rPr>
          <w:sz w:val="22"/>
          <w:szCs w:val="22"/>
          <w:lang w:val="uk-UA"/>
        </w:rPr>
        <w:t xml:space="preserve"> </w:t>
      </w:r>
    </w:p>
    <w:p w:rsidR="00931E8E" w:rsidRDefault="00931E8E" w:rsidP="00931E8E">
      <w:pPr>
        <w:jc w:val="both"/>
        <w:rPr>
          <w:sz w:val="22"/>
          <w:szCs w:val="22"/>
          <w:lang w:val="uk-UA"/>
        </w:rPr>
      </w:pPr>
      <w:r w:rsidRPr="00DE4686">
        <w:rPr>
          <w:sz w:val="22"/>
          <w:szCs w:val="22"/>
          <w:lang w:val="uk-UA"/>
        </w:rPr>
        <w:t>загально-правових питань</w:t>
      </w:r>
      <w:r>
        <w:rPr>
          <w:sz w:val="22"/>
          <w:szCs w:val="22"/>
          <w:lang w:val="uk-UA"/>
        </w:rPr>
        <w:t xml:space="preserve"> юридичного управління</w:t>
      </w:r>
      <w:r w:rsidRPr="00DE4686">
        <w:rPr>
          <w:sz w:val="22"/>
          <w:szCs w:val="22"/>
          <w:lang w:val="uk-UA"/>
        </w:rPr>
        <w:t xml:space="preserve">   </w:t>
      </w:r>
    </w:p>
    <w:p w:rsidR="00931E8E" w:rsidRDefault="00931E8E" w:rsidP="00931E8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департаменту управління справами </w:t>
      </w:r>
    </w:p>
    <w:p w:rsidR="00931E8E" w:rsidRPr="00DE4686" w:rsidRDefault="00931E8E" w:rsidP="00931E8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та юридичного забезпечення                                                                              </w:t>
      </w:r>
      <w:r w:rsidRPr="00DE4686">
        <w:rPr>
          <w:sz w:val="22"/>
          <w:szCs w:val="22"/>
          <w:lang w:val="uk-UA"/>
        </w:rPr>
        <w:t xml:space="preserve">   </w:t>
      </w:r>
      <w:r w:rsidRPr="00ED43A9">
        <w:rPr>
          <w:sz w:val="22"/>
          <w:szCs w:val="22"/>
          <w:lang w:val="uk-UA"/>
        </w:rPr>
        <w:t>О.М. Мазур</w:t>
      </w:r>
      <w:r w:rsidRPr="00DE4686">
        <w:rPr>
          <w:sz w:val="22"/>
          <w:szCs w:val="22"/>
          <w:lang w:val="uk-UA"/>
        </w:rPr>
        <w:t xml:space="preserve">                                         </w:t>
      </w:r>
      <w:r>
        <w:rPr>
          <w:sz w:val="22"/>
          <w:szCs w:val="22"/>
          <w:lang w:val="uk-UA"/>
        </w:rPr>
        <w:t xml:space="preserve">     </w:t>
      </w:r>
    </w:p>
    <w:p w:rsidR="00931E8E" w:rsidRPr="00DE4686" w:rsidRDefault="00931E8E" w:rsidP="00931E8E">
      <w:pPr>
        <w:jc w:val="both"/>
        <w:rPr>
          <w:sz w:val="22"/>
          <w:szCs w:val="22"/>
          <w:lang w:val="uk-UA"/>
        </w:rPr>
      </w:pPr>
    </w:p>
    <w:p w:rsidR="00931E8E" w:rsidRPr="00DE4686" w:rsidRDefault="00931E8E" w:rsidP="00931E8E">
      <w:pPr>
        <w:jc w:val="both"/>
        <w:rPr>
          <w:sz w:val="22"/>
          <w:szCs w:val="22"/>
          <w:lang w:val="uk-UA"/>
        </w:rPr>
      </w:pPr>
    </w:p>
    <w:p w:rsidR="00931E8E" w:rsidRPr="006D07A7" w:rsidRDefault="00931E8E" w:rsidP="00931E8E">
      <w:pPr>
        <w:jc w:val="both"/>
        <w:rPr>
          <w:sz w:val="22"/>
          <w:szCs w:val="22"/>
        </w:rPr>
      </w:pPr>
      <w:r w:rsidRPr="00DE4686">
        <w:rPr>
          <w:sz w:val="22"/>
          <w:szCs w:val="22"/>
          <w:lang w:val="uk-UA"/>
        </w:rPr>
        <w:t xml:space="preserve">Особа відповідальна за підготовку рішення                    </w:t>
      </w:r>
      <w:r>
        <w:rPr>
          <w:sz w:val="22"/>
          <w:szCs w:val="22"/>
          <w:lang w:val="uk-UA"/>
        </w:rPr>
        <w:t xml:space="preserve">                 </w:t>
      </w:r>
      <w:r w:rsidRPr="00DE4686">
        <w:rPr>
          <w:sz w:val="22"/>
          <w:szCs w:val="22"/>
          <w:lang w:val="uk-UA"/>
        </w:rPr>
        <w:t xml:space="preserve">   </w:t>
      </w:r>
      <w:r>
        <w:rPr>
          <w:sz w:val="22"/>
          <w:szCs w:val="22"/>
          <w:lang w:val="uk-UA"/>
        </w:rPr>
        <w:t xml:space="preserve">  </w:t>
      </w:r>
      <w:r w:rsidRPr="00DE4686">
        <w:rPr>
          <w:sz w:val="22"/>
          <w:szCs w:val="22"/>
          <w:lang w:val="uk-UA"/>
        </w:rPr>
        <w:t xml:space="preserve">   </w:t>
      </w:r>
      <w:r>
        <w:rPr>
          <w:sz w:val="22"/>
          <w:szCs w:val="22"/>
          <w:lang w:val="uk-UA"/>
        </w:rPr>
        <w:t xml:space="preserve">      </w:t>
      </w:r>
      <w:r w:rsidRPr="00DE4686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>І.М.Компанієць</w:t>
      </w:r>
    </w:p>
    <w:p w:rsidR="00931E8E" w:rsidRDefault="00931E8E" w:rsidP="00931E8E">
      <w:pPr>
        <w:jc w:val="both"/>
        <w:rPr>
          <w:sz w:val="28"/>
          <w:szCs w:val="28"/>
          <w:lang w:val="uk-UA"/>
        </w:rPr>
      </w:pPr>
    </w:p>
    <w:p w:rsidR="00931E8E" w:rsidRPr="00766EF7" w:rsidRDefault="00931E8E" w:rsidP="00931E8E">
      <w:pPr>
        <w:jc w:val="both"/>
        <w:rPr>
          <w:lang w:val="uk-UA"/>
        </w:rPr>
      </w:pPr>
      <w:r>
        <w:rPr>
          <w:lang w:val="uk-UA"/>
        </w:rPr>
        <w:t>Надіслано</w:t>
      </w:r>
      <w:r w:rsidRPr="00236B20">
        <w:rPr>
          <w:lang w:val="uk-UA"/>
        </w:rPr>
        <w:t>:</w:t>
      </w:r>
    </w:p>
    <w:p w:rsidR="00931E8E" w:rsidRDefault="00931E8E" w:rsidP="00931E8E">
      <w:pPr>
        <w:jc w:val="both"/>
        <w:rPr>
          <w:sz w:val="28"/>
          <w:szCs w:val="28"/>
          <w:lang w:val="uk-UA"/>
        </w:rPr>
      </w:pPr>
    </w:p>
    <w:p w:rsidR="00931E8E" w:rsidRPr="00DE4686" w:rsidRDefault="00931E8E" w:rsidP="00931E8E">
      <w:pPr>
        <w:jc w:val="both"/>
        <w:rPr>
          <w:sz w:val="22"/>
          <w:szCs w:val="22"/>
          <w:lang w:val="uk-UA"/>
        </w:rPr>
      </w:pPr>
      <w:r w:rsidRPr="00DE4686">
        <w:rPr>
          <w:sz w:val="22"/>
          <w:szCs w:val="22"/>
          <w:lang w:val="uk-UA"/>
        </w:rPr>
        <w:t>Внутрішнє розсилання:</w:t>
      </w:r>
    </w:p>
    <w:p w:rsidR="00931E8E" w:rsidRPr="00DE4686" w:rsidRDefault="00931E8E" w:rsidP="00931E8E">
      <w:pPr>
        <w:jc w:val="both"/>
        <w:rPr>
          <w:sz w:val="22"/>
          <w:szCs w:val="22"/>
          <w:lang w:val="uk-UA"/>
        </w:rPr>
      </w:pPr>
    </w:p>
    <w:p w:rsidR="00931E8E" w:rsidRPr="00DE4686" w:rsidRDefault="00931E8E" w:rsidP="00931E8E">
      <w:pPr>
        <w:jc w:val="both"/>
        <w:rPr>
          <w:sz w:val="22"/>
          <w:szCs w:val="22"/>
          <w:lang w:val="uk-UA"/>
        </w:rPr>
      </w:pPr>
      <w:r w:rsidRPr="00DE4686">
        <w:rPr>
          <w:sz w:val="22"/>
          <w:szCs w:val="22"/>
          <w:lang w:val="uk-UA"/>
        </w:rPr>
        <w:t>Департамент освіти та гуманітарної політики</w:t>
      </w:r>
    </w:p>
    <w:p w:rsidR="00931E8E" w:rsidRPr="00957AB1" w:rsidRDefault="00931E8E" w:rsidP="00931E8E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Черкаської міської ради   - 2</w:t>
      </w:r>
      <w:r w:rsidRPr="00DE4686">
        <w:rPr>
          <w:sz w:val="22"/>
          <w:szCs w:val="22"/>
          <w:lang w:val="uk-UA"/>
        </w:rPr>
        <w:t xml:space="preserve"> прим.</w:t>
      </w:r>
    </w:p>
    <w:p w:rsidR="00931E8E" w:rsidRPr="00650711" w:rsidRDefault="00931E8E" w:rsidP="00931E8E">
      <w:pPr>
        <w:jc w:val="both"/>
        <w:rPr>
          <w:sz w:val="22"/>
          <w:szCs w:val="22"/>
        </w:rPr>
      </w:pPr>
    </w:p>
    <w:p w:rsidR="00931E8E" w:rsidRPr="00DE4686" w:rsidRDefault="00931E8E" w:rsidP="00931E8E">
      <w:pPr>
        <w:jc w:val="both"/>
        <w:rPr>
          <w:sz w:val="22"/>
          <w:szCs w:val="22"/>
          <w:lang w:val="uk-UA"/>
        </w:rPr>
      </w:pPr>
    </w:p>
    <w:p w:rsidR="00931E8E" w:rsidRPr="00DE4686" w:rsidRDefault="00931E8E" w:rsidP="00931E8E">
      <w:pPr>
        <w:jc w:val="both"/>
        <w:rPr>
          <w:sz w:val="22"/>
          <w:szCs w:val="22"/>
          <w:lang w:val="uk-UA"/>
        </w:rPr>
      </w:pPr>
      <w:r w:rsidRPr="00DE4686">
        <w:rPr>
          <w:sz w:val="22"/>
          <w:szCs w:val="22"/>
          <w:lang w:val="uk-UA"/>
        </w:rPr>
        <w:t>Департамент економіки та розвитку</w:t>
      </w:r>
    </w:p>
    <w:p w:rsidR="00931E8E" w:rsidRPr="00DE4686" w:rsidRDefault="00931E8E" w:rsidP="00931E8E">
      <w:pPr>
        <w:jc w:val="both"/>
        <w:rPr>
          <w:sz w:val="22"/>
          <w:szCs w:val="22"/>
          <w:lang w:val="uk-UA"/>
        </w:rPr>
      </w:pPr>
      <w:r w:rsidRPr="00DE4686">
        <w:rPr>
          <w:sz w:val="22"/>
          <w:szCs w:val="22"/>
          <w:lang w:val="uk-UA"/>
        </w:rPr>
        <w:t>Черкаської міської ради   - 1 прим.</w:t>
      </w:r>
    </w:p>
    <w:p w:rsidR="00931E8E" w:rsidRPr="00DE4686" w:rsidRDefault="00931E8E" w:rsidP="00931E8E">
      <w:pPr>
        <w:jc w:val="both"/>
        <w:rPr>
          <w:sz w:val="22"/>
          <w:szCs w:val="22"/>
          <w:lang w:val="uk-UA"/>
        </w:rPr>
      </w:pPr>
    </w:p>
    <w:p w:rsidR="00931E8E" w:rsidRPr="00DE4686" w:rsidRDefault="00931E8E" w:rsidP="00931E8E">
      <w:pPr>
        <w:jc w:val="both"/>
        <w:rPr>
          <w:sz w:val="22"/>
          <w:szCs w:val="22"/>
          <w:lang w:val="uk-UA"/>
        </w:rPr>
      </w:pPr>
      <w:r w:rsidRPr="00DE4686">
        <w:rPr>
          <w:sz w:val="22"/>
          <w:szCs w:val="22"/>
          <w:lang w:val="uk-UA"/>
        </w:rPr>
        <w:t>Відділ з питань роботи ради</w:t>
      </w:r>
    </w:p>
    <w:p w:rsidR="00931E8E" w:rsidRPr="00DE4686" w:rsidRDefault="00931E8E" w:rsidP="00931E8E">
      <w:pPr>
        <w:jc w:val="both"/>
        <w:rPr>
          <w:sz w:val="22"/>
          <w:szCs w:val="22"/>
          <w:lang w:val="uk-UA"/>
        </w:rPr>
      </w:pPr>
      <w:r w:rsidRPr="00DE4686">
        <w:rPr>
          <w:sz w:val="22"/>
          <w:szCs w:val="22"/>
          <w:lang w:val="uk-UA"/>
        </w:rPr>
        <w:t>Черкаської міської ради – 1 прим.</w:t>
      </w:r>
    </w:p>
    <w:p w:rsidR="00931E8E" w:rsidRPr="00DE4686" w:rsidRDefault="00931E8E" w:rsidP="00931E8E">
      <w:pPr>
        <w:jc w:val="both"/>
        <w:rPr>
          <w:sz w:val="22"/>
          <w:szCs w:val="22"/>
          <w:lang w:val="uk-UA"/>
        </w:rPr>
      </w:pPr>
    </w:p>
    <w:p w:rsidR="00931E8E" w:rsidRDefault="008D72A5" w:rsidP="00931E8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931E8E" w:rsidRPr="00DE4686" w:rsidRDefault="00931E8E" w:rsidP="00931E8E">
      <w:pPr>
        <w:jc w:val="both"/>
        <w:rPr>
          <w:sz w:val="22"/>
          <w:szCs w:val="22"/>
          <w:lang w:val="uk-UA"/>
        </w:rPr>
      </w:pPr>
    </w:p>
    <w:p w:rsidR="00931E8E" w:rsidRPr="00DE4686" w:rsidRDefault="00931E8E" w:rsidP="00931E8E">
      <w:pPr>
        <w:jc w:val="both"/>
        <w:rPr>
          <w:sz w:val="22"/>
          <w:szCs w:val="22"/>
          <w:lang w:val="uk-UA"/>
        </w:rPr>
      </w:pPr>
      <w:r w:rsidRPr="00DE4686">
        <w:rPr>
          <w:sz w:val="22"/>
          <w:szCs w:val="22"/>
          <w:lang w:val="uk-UA"/>
        </w:rPr>
        <w:t>Підстави для прийняття рішення знаходяться в департаменті освіти та гуманітарної політики Черкаської міської ради</w:t>
      </w:r>
    </w:p>
    <w:p w:rsidR="00931E8E" w:rsidRPr="00DE4686" w:rsidRDefault="00931E8E" w:rsidP="00931E8E">
      <w:pPr>
        <w:jc w:val="both"/>
        <w:rPr>
          <w:sz w:val="22"/>
          <w:szCs w:val="22"/>
          <w:lang w:val="uk-UA"/>
        </w:rPr>
      </w:pPr>
    </w:p>
    <w:p w:rsidR="00FF6CE4" w:rsidRPr="00DE4686" w:rsidRDefault="00FF6CE4" w:rsidP="00FF6C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Заступник д</w:t>
      </w:r>
      <w:r w:rsidRPr="00DE4686">
        <w:rPr>
          <w:sz w:val="22"/>
          <w:szCs w:val="22"/>
          <w:lang w:val="uk-UA"/>
        </w:rPr>
        <w:t>иректор</w:t>
      </w:r>
      <w:r>
        <w:rPr>
          <w:sz w:val="22"/>
          <w:szCs w:val="22"/>
          <w:lang w:val="uk-UA"/>
        </w:rPr>
        <w:t>а</w:t>
      </w:r>
      <w:r w:rsidRPr="00DE4686">
        <w:rPr>
          <w:sz w:val="22"/>
          <w:szCs w:val="22"/>
          <w:lang w:val="uk-UA"/>
        </w:rPr>
        <w:t xml:space="preserve"> департаменту освіти та </w:t>
      </w:r>
    </w:p>
    <w:p w:rsidR="00FF6CE4" w:rsidRDefault="00FF6CE4" w:rsidP="00FF6CE4">
      <w:pPr>
        <w:jc w:val="both"/>
        <w:rPr>
          <w:sz w:val="22"/>
          <w:szCs w:val="22"/>
          <w:lang w:val="uk-UA"/>
        </w:rPr>
      </w:pPr>
      <w:r w:rsidRPr="00DE4686">
        <w:rPr>
          <w:sz w:val="22"/>
          <w:szCs w:val="22"/>
          <w:lang w:val="uk-UA"/>
        </w:rPr>
        <w:t xml:space="preserve">гуманітарної політики                                                            </w:t>
      </w:r>
      <w:r>
        <w:rPr>
          <w:sz w:val="22"/>
          <w:szCs w:val="22"/>
          <w:lang w:val="uk-UA"/>
        </w:rPr>
        <w:t xml:space="preserve">                           </w:t>
      </w:r>
      <w:r w:rsidRPr="00DE468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М.В. </w:t>
      </w:r>
      <w:proofErr w:type="spellStart"/>
      <w:r>
        <w:rPr>
          <w:sz w:val="22"/>
          <w:szCs w:val="22"/>
          <w:lang w:val="uk-UA"/>
        </w:rPr>
        <w:t>Шадловський</w:t>
      </w:r>
      <w:proofErr w:type="spellEnd"/>
    </w:p>
    <w:p w:rsidR="00FF6CE4" w:rsidRDefault="00FF6CE4" w:rsidP="00FF6CE4">
      <w:pPr>
        <w:jc w:val="both"/>
        <w:rPr>
          <w:sz w:val="22"/>
          <w:szCs w:val="22"/>
          <w:lang w:val="uk-UA"/>
        </w:rPr>
      </w:pPr>
    </w:p>
    <w:p w:rsidR="00FF6CE4" w:rsidRPr="00DE4686" w:rsidRDefault="00FF6CE4" w:rsidP="00FF6CE4">
      <w:pPr>
        <w:jc w:val="both"/>
        <w:rPr>
          <w:sz w:val="22"/>
          <w:szCs w:val="22"/>
          <w:lang w:val="uk-UA"/>
        </w:rPr>
      </w:pPr>
    </w:p>
    <w:p w:rsidR="00BB2F96" w:rsidRPr="00931E8E" w:rsidRDefault="00BB2F96" w:rsidP="00FF6CE4">
      <w:pPr>
        <w:jc w:val="both"/>
        <w:rPr>
          <w:lang w:val="uk-UA"/>
        </w:rPr>
      </w:pPr>
    </w:p>
    <w:sectPr w:rsidR="00BB2F96" w:rsidRPr="00931E8E" w:rsidSect="00BB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E8E"/>
    <w:rsid w:val="00081B71"/>
    <w:rsid w:val="001E46A1"/>
    <w:rsid w:val="0026207D"/>
    <w:rsid w:val="003A65D8"/>
    <w:rsid w:val="00535BF5"/>
    <w:rsid w:val="006778A4"/>
    <w:rsid w:val="006F30AB"/>
    <w:rsid w:val="00791507"/>
    <w:rsid w:val="00816803"/>
    <w:rsid w:val="008D72A5"/>
    <w:rsid w:val="00931E8E"/>
    <w:rsid w:val="00944622"/>
    <w:rsid w:val="00AA14BB"/>
    <w:rsid w:val="00B16514"/>
    <w:rsid w:val="00BB2F96"/>
    <w:rsid w:val="00CC1B37"/>
    <w:rsid w:val="00EA13CA"/>
    <w:rsid w:val="00EA19D3"/>
    <w:rsid w:val="00F568FF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8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1E8E"/>
    <w:pPr>
      <w:spacing w:after="120"/>
    </w:pPr>
  </w:style>
  <w:style w:type="character" w:customStyle="1" w:styleId="a4">
    <w:name w:val="Основной текст Знак"/>
    <w:basedOn w:val="a0"/>
    <w:link w:val="a3"/>
    <w:rsid w:val="00931E8E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1E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1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Kompaniec_IM</dc:creator>
  <cp:lastModifiedBy>Гаврилова Жанна</cp:lastModifiedBy>
  <cp:revision>6</cp:revision>
  <cp:lastPrinted>2017-12-14T14:39:00Z</cp:lastPrinted>
  <dcterms:created xsi:type="dcterms:W3CDTF">2017-12-11T19:14:00Z</dcterms:created>
  <dcterms:modified xsi:type="dcterms:W3CDTF">2018-02-09T10:12:00Z</dcterms:modified>
</cp:coreProperties>
</file>